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eastAsia="Calibri" w:cs="Calibri"/>
          <w:b w:val="false"/>
          <w:b w:val="false"/>
          <w:bCs w:val="false"/>
          <w:i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</w:pP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Dotyczy: Renowacja kaplicy cmentarnej oraz kapliczki domkowej w sąsiedztwie cmentarza parafialnego w Inwałdzie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Style w:val="Domylnaczcionkaakapitu1"/>
          <w:rFonts w:eastAsia="Calibri" w:cs="Calibri"/>
          <w:b w:val="false"/>
          <w:b w:val="false"/>
          <w:bCs w:val="false"/>
          <w:i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</w:pPr>
      <w:r>
        <w:rPr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Nr referencyjny: BZP.271.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7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auto" w:val="clear"/>
          <w:lang w:eastAsia="pl-PL" w:bidi="ar-SA"/>
        </w:rPr>
        <w:t>.2025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1134"/>
        <w:jc w:val="left"/>
        <w:rPr>
          <w:rFonts w:ascii="Calibri" w:hAnsi="Calibri"/>
          <w:sz w:val="26"/>
          <w:szCs w:val="26"/>
        </w:rPr>
      </w:pPr>
      <w:r>
        <w:rPr>
          <w:rFonts w:cs="Calibri" w:cstheme="minorHAnsi"/>
          <w:b w:val="false"/>
          <w:bCs w:val="false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.…………………..........................………..………….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eastAsia="Calibri" w:cs="Calibri" w:cstheme="minorHAnsi"/>
          <w:i w:val="false"/>
          <w:iCs w:val="false"/>
          <w:color w:val="00000A"/>
          <w:kern w:val="0"/>
          <w:sz w:val="24"/>
          <w:szCs w:val="24"/>
          <w:lang w:val="pl-PL" w:eastAsia="en-US" w:bidi="ar-SA"/>
        </w:rPr>
        <w:t>podpis Podmiotu udostępniającego zasoby/ osoby upoważnionej do reprezentacji Podmiotu udostępniającego zasoby -(</w:t>
      </w:r>
      <w:r>
        <w:rPr>
          <w:rFonts w:cs="Calibri" w:cstheme="minorHAnsi"/>
          <w:i w:val="false"/>
          <w:iCs w:val="false"/>
          <w:sz w:val="24"/>
          <w:szCs w:val="24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cs="Calibri"/>
          <w:i/>
          <w:i/>
          <w:iCs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footerReference w:type="default" r:id="rId3"/>
      <w:type w:val="nextPage"/>
      <w:pgSz w:w="11906" w:h="16838"/>
      <w:pgMar w:left="1417" w:right="1139" w:gutter="0" w:header="870" w:top="2731" w:footer="708" w:bottom="99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  <w:fldChar w:fldCharType="begin"/>
    </w:r>
    <w:r>
      <w:rPr/>
      <w:instrText xml:space="preserve"> DOCPROPERTY "urn:bails:IntellectualProperty:Marking:document-footer"</w:instrText>
    </w:r>
    <w:r>
      <w:rPr/>
      <w:fldChar w:fldCharType="separate"/>
    </w:r>
    <w:r>
      <w:rPr/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sz w:val="16"/>
        <w:szCs w:val="16"/>
      </w:rPr>
      <w:t>RZĄDOWY PROGRAM ODBUDOWY ZABYTKÓW</w:t>
    </w:r>
  </w:p>
  <w:p>
    <w:pPr>
      <w:pStyle w:val="Tretekstu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3490595</wp:posOffset>
          </wp:positionH>
          <wp:positionV relativeFrom="paragraph">
            <wp:posOffset>18415</wp:posOffset>
          </wp:positionV>
          <wp:extent cx="2430780" cy="59309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0780" cy="593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Tretekstu"/>
      <w:rPr/>
    </w:pPr>
    <w:r>
      <w:rPr/>
    </w:r>
  </w:p>
  <w:p>
    <w:pPr>
      <w:pStyle w:val="Tretekstu"/>
      <w:spacing w:lineRule="auto" w:line="288" w:before="0" w:after="14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LibreOffice/7.3.4.2$Windows_X86_64 LibreOffice_project/728fec16bd5f605073805c3c9e7c4212a0120dc5</Application>
  <AppVersion>15.0000</AppVersion>
  <Pages>3</Pages>
  <Words>183</Words>
  <Characters>1394</Characters>
  <CharactersWithSpaces>1554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2024-03-22T08:57:43Z</cp:lastPrinted>
  <dcterms:modified xsi:type="dcterms:W3CDTF">2025-03-21T12:45:52Z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urn:bails:IntellectualProperty:Authorization:StartValidity">
    <vt:lpwstr>2024-03-21T09:02:53,519000000</vt:lpwstr>
  </property>
  <property fmtid="{D5CDD505-2E9C-101B-9397-08002B2CF9AE}" pid="7" name="urn:bails:IntellectualProperty:Authorization:StopValidity">
    <vt:lpwstr>None</vt:lpwstr>
  </property>
  <property fmtid="{D5CDD505-2E9C-101B-9397-08002B2CF9AE}" pid="8" name="urn:bails:IntellectualProperty:BusinessAuthorization:Identifier">
    <vt:lpwstr>urn:example:tscp:1</vt:lpwstr>
  </property>
  <property fmtid="{D5CDD505-2E9C-101B-9397-08002B2CF9AE}" pid="9" name="urn:bails:IntellectualProperty:BusinessAuthorization:Locator">
    <vt:lpwstr>None</vt:lpwstr>
  </property>
  <property fmtid="{D5CDD505-2E9C-101B-9397-08002B2CF9AE}" pid="10" name="urn:bails:IntellectualProperty:BusinessAuthorization:Name">
    <vt:lpwstr>None</vt:lpwstr>
  </property>
  <property fmtid="{D5CDD505-2E9C-101B-9397-08002B2CF9AE}" pid="11" name="urn:bails:IntellectualProperty:BusinessAuthorizationCategory:Identifier">
    <vt:lpwstr>urn:example:tscp:1:non-business</vt:lpwstr>
  </property>
  <property fmtid="{D5CDD505-2E9C-101B-9397-08002B2CF9AE}" pid="12" name="urn:bails:IntellectualProperty:BusinessAuthorizationCategory:Identifier:OID">
    <vt:lpwstr>None</vt:lpwstr>
  </property>
  <property fmtid="{D5CDD505-2E9C-101B-9397-08002B2CF9AE}" pid="13" name="urn:bails:IntellectualProperty:BusinessAuthorizationCategory:Locator">
    <vt:lpwstr>None</vt:lpwstr>
  </property>
  <property fmtid="{D5CDD505-2E9C-101B-9397-08002B2CF9AE}" pid="14" name="urn:bails:IntellectualProperty:BusinessAuthorizationCategory:Name">
    <vt:lpwstr>Non-Business</vt:lpwstr>
  </property>
  <property fmtid="{D5CDD505-2E9C-101B-9397-08002B2CF9AE}" pid="15" name="urn:bails:IntellectualProperty:CreationOrigin">
    <vt:lpwstr>BAF_POLICY</vt:lpwstr>
  </property>
  <property fmtid="{D5CDD505-2E9C-101B-9397-08002B2CF9AE}" pid="16" name="urn:bails:IntellectualProperty:Impact:Level:Availability">
    <vt:lpwstr>0</vt:lpwstr>
  </property>
  <property fmtid="{D5CDD505-2E9C-101B-9397-08002B2CF9AE}" pid="17" name="urn:bails:IntellectualProperty:Impact:Level:Confidentiality">
    <vt:lpwstr>0</vt:lpwstr>
  </property>
  <property fmtid="{D5CDD505-2E9C-101B-9397-08002B2CF9AE}" pid="18" name="urn:bails:IntellectualProperty:Impact:Level:Integrity">
    <vt:lpwstr>0</vt:lpwstr>
  </property>
  <property fmtid="{D5CDD505-2E9C-101B-9397-08002B2CF9AE}" pid="19" name="urn:bails:IntellectualProperty:Impact:Scale">
    <vt:lpwstr>UK-Cabinet</vt:lpwstr>
  </property>
  <property fmtid="{D5CDD505-2E9C-101B-9397-08002B2CF9AE}" pid="20" name="urn:bails:IntellectualProperty:Marking:document-footer">
    <vt:lpwstr/>
  </property>
  <property fmtid="{D5CDD505-2E9C-101B-9397-08002B2CF9AE}" pid="21" name="urn:bails:IntellectualProperty:Marking:document-header">
    <vt:lpwstr/>
  </property>
  <property fmtid="{D5CDD505-2E9C-101B-9397-08002B2CF9AE}" pid="22" name="urn:bails:IntellectualProperty:Marking:document-watermark">
    <vt:lpwstr/>
  </property>
  <property fmtid="{D5CDD505-2E9C-101B-9397-08002B2CF9AE}" pid="23" name="urn:bails:IntellectualProperty:Marking:email-first-line-of-text">
    <vt:lpwstr/>
  </property>
  <property fmtid="{D5CDD505-2E9C-101B-9397-08002B2CF9AE}" pid="24" name="urn:bails:IntellectualProperty:Marking:email-last-line-of-text">
    <vt:lpwstr/>
  </property>
  <property fmtid="{D5CDD505-2E9C-101B-9397-08002B2CF9AE}" pid="25" name="urn:bails:IntellectualProperty:Marking:email-subject-prefix">
    <vt:lpwstr/>
  </property>
  <property fmtid="{D5CDD505-2E9C-101B-9397-08002B2CF9AE}" pid="26" name="urn:bails:IntellectualProperty:Marking:email-subject-suffix">
    <vt:lpwstr/>
  </property>
  <property fmtid="{D5CDD505-2E9C-101B-9397-08002B2CF9AE}" pid="27" name="urn:bails:IntellectualProperty:Marking:general-distribution-statement">
    <vt:lpwstr/>
  </property>
  <property fmtid="{D5CDD505-2E9C-101B-9397-08002B2CF9AE}" pid="28" name="urn:bails:IntellectualProperty:Marking:general-distribution-statement:ext:2">
    <vt:lpwstr/>
  </property>
  <property fmtid="{D5CDD505-2E9C-101B-9397-08002B2CF9AE}" pid="29" name="urn:bails:IntellectualProperty:Marking:general-distribution-statement:ext:3">
    <vt:lpwstr/>
  </property>
  <property fmtid="{D5CDD505-2E9C-101B-9397-08002B2CF9AE}" pid="30" name="urn:bails:IntellectualProperty:Marking:general-distribution-statement:ext:4">
    <vt:lpwstr/>
  </property>
  <property fmtid="{D5CDD505-2E9C-101B-9397-08002B2CF9AE}" pid="31" name="urn:bails:IntellectualProperty:Marking:general-summary">
    <vt:lpwstr/>
  </property>
  <property fmtid="{D5CDD505-2E9C-101B-9397-08002B2CF9AE}" pid="32" name="urn:bails:IntellectualProperty:Marking:general-warning-statement">
    <vt:lpwstr/>
  </property>
  <property fmtid="{D5CDD505-2E9C-101B-9397-08002B2CF9AE}" pid="33" name="urn:bails:IntellectualProperty:Marking:general-warning-statement:ext:2">
    <vt:lpwstr/>
  </property>
  <property fmtid="{D5CDD505-2E9C-101B-9397-08002B2CF9AE}" pid="34" name="urn:bails:IntellectualProperty:Marking:general-warning-statement:ext:3">
    <vt:lpwstr/>
  </property>
  <property fmtid="{D5CDD505-2E9C-101B-9397-08002B2CF9AE}" pid="35" name="urn:bails:IntellectualProperty:Marking:general-warning-statement:ext:4">
    <vt:lpwstr/>
  </property>
  <property fmtid="{D5CDD505-2E9C-101B-9397-08002B2CF9AE}" pid="36" name="urn:bails:IntellectualProperty:MarkingPrecedence">
    <vt:lpwstr>None</vt:lpwstr>
  </property>
  <property fmtid="{D5CDD505-2E9C-101B-9397-08002B2CF9AE}" pid="37" name="urn:bails:IntellectualProperty:Policy:Identifier">
    <vt:lpwstr>None</vt:lpwstr>
  </property>
  <property fmtid="{D5CDD505-2E9C-101B-9397-08002B2CF9AE}" pid="38" name="urn:bails:IntellectualProperty:Policy:Name">
    <vt:lpwstr>TSCP Example Policy</vt:lpwstr>
  </property>
  <property fmtid="{D5CDD505-2E9C-101B-9397-08002B2CF9AE}" pid="39" name="urn:bails:IntellectualProperty:PolicyAuthority:Country">
    <vt:lpwstr>None</vt:lpwstr>
  </property>
  <property fmtid="{D5CDD505-2E9C-101B-9397-08002B2CF9AE}" pid="40" name="urn:bails:IntellectualProperty:PolicyAuthority:Identifier">
    <vt:lpwstr>None</vt:lpwstr>
  </property>
  <property fmtid="{D5CDD505-2E9C-101B-9397-08002B2CF9AE}" pid="41" name="urn:bails:IntellectualProperty:PolicyAuthority:Name">
    <vt:lpwstr>TSCP Example Policy Authority</vt:lpwstr>
  </property>
</Properties>
</file>